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36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Контроль сортовых качеств: требования в 2026 году </w:t>
      </w:r>
    </w:p>
    <w:p w14:paraId="02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сортовых качеств семян является неотъемлемой частью регулирования семенного рынка, который направлен на обеспечение использования качественного семенного материала и </w:t>
      </w:r>
      <w:r>
        <w:rPr>
          <w:rFonts w:ascii="Times New Roman" w:hAnsi="Times New Roman"/>
          <w:sz w:val="28"/>
        </w:rPr>
        <w:t>обеспечение стабильности производства сельскохозяйственной продукции.</w:t>
      </w:r>
    </w:p>
    <w:p w14:paraId="03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Определение сортовых качеств семенных посевов осуществляется посредством проведения апробации, представляющей собой установленную процедуру оценки соответствия посевов </w:t>
      </w:r>
      <w:r>
        <w:rPr>
          <w:rFonts w:ascii="Times New Roman" w:hAnsi="Times New Roman"/>
          <w:sz w:val="28"/>
        </w:rPr>
        <w:t xml:space="preserve">предъявляемым </w:t>
      </w:r>
      <w:r>
        <w:rPr>
          <w:rFonts w:ascii="Times New Roman" w:hAnsi="Times New Roman"/>
          <w:sz w:val="28"/>
        </w:rPr>
        <w:t xml:space="preserve">требованиям, </w:t>
      </w:r>
      <w:r>
        <w:rPr>
          <w:rFonts w:ascii="Times New Roman" w:hAnsi="Times New Roman"/>
          <w:sz w:val="28"/>
        </w:rPr>
        <w:t xml:space="preserve">согласно решению № 10 от 30.01.2020 Евразийской экономической комиссии. </w:t>
      </w:r>
      <w:r>
        <w:rPr>
          <w:rFonts w:ascii="Times New Roman" w:hAnsi="Times New Roman"/>
          <w:sz w:val="28"/>
        </w:rPr>
        <w:t xml:space="preserve">В соответствии с ч. 2 ст. 14 Федерального закона </w:t>
      </w:r>
      <w:r>
        <w:rPr>
          <w:rFonts w:ascii="Times New Roman" w:hAnsi="Times New Roman"/>
          <w:sz w:val="28"/>
        </w:rPr>
        <w:t>«О семеноводстве»</w:t>
      </w:r>
      <w:r>
        <w:rPr>
          <w:rFonts w:ascii="Times New Roman" w:hAnsi="Times New Roman"/>
          <w:sz w:val="28"/>
        </w:rPr>
        <w:t xml:space="preserve"> № 454-ФЗ </w:t>
      </w:r>
      <w:r>
        <w:rPr>
          <w:rFonts w:ascii="Times New Roman" w:hAnsi="Times New Roman"/>
          <w:sz w:val="28"/>
        </w:rPr>
        <w:t xml:space="preserve">от 30.12.2021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пробация посевов (посадок) сельскохозяйственных растений проводится в отношении посевов (посадок) сельскохозяйственных растений для использования в семенных целях, семена которых предназначены для реализации или производства семян.</w:t>
      </w:r>
    </w:p>
    <w:p w14:paraId="04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 Минсельхоза России от 23.04.2025 № 278 внёс изменения в ограничения по количеству репродукций семян:</w:t>
      </w:r>
    </w:p>
    <w:p w14:paraId="05000000">
      <w:pPr>
        <w:pStyle w:val="Style_1"/>
        <w:widowControl w:val="1"/>
        <w:numPr>
          <w:ilvl w:val="0"/>
          <w:numId w:val="1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2026 года не проводится апробация посевов репродукционных семян начиная с 4-го поколения;</w:t>
      </w:r>
    </w:p>
    <w:p w14:paraId="06000000">
      <w:pPr>
        <w:pStyle w:val="Style_1"/>
        <w:widowControl w:val="1"/>
        <w:numPr>
          <w:ilvl w:val="0"/>
          <w:numId w:val="1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2027 года не проводится апробация посевов репродукционных семян начиная с 3-го поколения.</w:t>
      </w:r>
    </w:p>
    <w:p w14:paraId="07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проведения апробации</w:t>
      </w:r>
      <w:r>
        <w:rPr>
          <w:rFonts w:ascii="Times New Roman" w:hAnsi="Times New Roman"/>
          <w:sz w:val="28"/>
        </w:rPr>
        <w:t xml:space="preserve"> и получения акта апробации</w:t>
      </w:r>
      <w:r>
        <w:rPr>
          <w:rFonts w:ascii="Times New Roman" w:hAnsi="Times New Roman"/>
          <w:sz w:val="28"/>
        </w:rPr>
        <w:t xml:space="preserve"> необходимо выполнить следующие шаги:</w:t>
      </w:r>
      <w:r>
        <w:rPr>
          <w:rFonts w:ascii="Times New Roman" w:hAnsi="Times New Roman"/>
          <w:sz w:val="28"/>
        </w:rPr>
        <w:t xml:space="preserve"> </w:t>
      </w:r>
    </w:p>
    <w:p w14:paraId="08000000">
      <w:pPr>
        <w:pStyle w:val="Style_1"/>
        <w:widowControl w:val="1"/>
        <w:numPr>
          <w:ilvl w:val="0"/>
          <w:numId w:val="2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Подать заявку через ФГИС «Семеноводство». Срок подачи заявки – не позднее чем за месяц до начала сортовой оценки посевов (до наступления фазы развития растений, когда </w:t>
      </w:r>
      <w:r>
        <w:rPr>
          <w:rFonts w:ascii="Times New Roman" w:hAnsi="Times New Roman"/>
          <w:sz w:val="28"/>
        </w:rPr>
        <w:t>апробационные</w:t>
      </w:r>
      <w:r>
        <w:rPr>
          <w:rFonts w:ascii="Times New Roman" w:hAnsi="Times New Roman"/>
          <w:sz w:val="28"/>
        </w:rPr>
        <w:t xml:space="preserve"> признаки наиболее выражены). </w:t>
      </w:r>
    </w:p>
    <w:p w14:paraId="09000000">
      <w:pPr>
        <w:pStyle w:val="Style_1"/>
        <w:widowControl w:val="1"/>
        <w:numPr>
          <w:ilvl w:val="0"/>
          <w:numId w:val="2"/>
        </w:num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нужно приложить к заявке: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документы о качестве исходных семян (сертификат соответствия, протокол испытаний, акт апробации);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данные о площади посева (в гектарах)</w:t>
      </w:r>
      <w:r>
        <w:rPr>
          <w:rFonts w:ascii="Times New Roman" w:hAnsi="Times New Roman"/>
          <w:sz w:val="28"/>
        </w:rPr>
        <w:t xml:space="preserve"> и его местоположении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сведения о категории семян (оригинальные, элитные, репродукционные);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данные о </w:t>
      </w:r>
      <w:r>
        <w:rPr>
          <w:rFonts w:ascii="Times New Roman" w:hAnsi="Times New Roman"/>
          <w:sz w:val="28"/>
        </w:rPr>
        <w:t>севообороте и агротехнике;</w:t>
      </w:r>
      <w:r>
        <w:rPr>
          <w:rFonts w:ascii="Times New Roman" w:hAnsi="Times New Roman"/>
          <w:sz w:val="28"/>
        </w:rPr>
        <w:t xml:space="preserve"> о</w:t>
      </w:r>
      <w:r>
        <w:rPr>
          <w:rFonts w:ascii="Times New Roman" w:hAnsi="Times New Roman"/>
          <w:sz w:val="28"/>
        </w:rPr>
        <w:t>беспечить наличие лицензионного договора с патентообладателем – обязательно для патентованны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сортов. Договор должен быть зарегистрирован в ФГБУ «</w:t>
      </w:r>
      <w:r>
        <w:rPr>
          <w:rFonts w:ascii="Times New Roman" w:hAnsi="Times New Roman"/>
          <w:sz w:val="28"/>
        </w:rPr>
        <w:t>Госсорткомиссия</w:t>
      </w:r>
      <w:r>
        <w:rPr>
          <w:rFonts w:ascii="Times New Roman" w:hAnsi="Times New Roman"/>
          <w:sz w:val="28"/>
        </w:rPr>
        <w:t>».</w:t>
      </w:r>
    </w:p>
    <w:p w14:paraId="0A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проверить: информацию о сортах, охраняемых патентом, и зарегистрированных договорах можно найти </w:t>
      </w:r>
      <w:r>
        <w:rPr>
          <w:rFonts w:ascii="Times New Roman" w:hAnsi="Times New Roman"/>
          <w:sz w:val="28"/>
        </w:rPr>
        <w:t>во ФГИС «Семеноводство» во вкладке «Иная информация системы».</w:t>
      </w:r>
    </w:p>
    <w:p w14:paraId="0B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Исключение («фермерская льгота»): согласно п. 4 ст. 1422 Гражданского кодекса РФ субъекты малого и среднего предпринимательства, а также граждане могут использовать охраняемый сорт в течение двух лет без лицензионного договора для выращивания на территории своего хозяйства. Если хозяйство не относится к малому и среднему предпринимательству</w:t>
      </w:r>
      <w:r>
        <w:rPr>
          <w:rFonts w:ascii="Times New Roman" w:hAnsi="Times New Roman"/>
          <w:sz w:val="28"/>
        </w:rPr>
        <w:t xml:space="preserve"> или предполагает реализацию семян</w:t>
      </w:r>
      <w:r>
        <w:rPr>
          <w:rFonts w:ascii="Times New Roman" w:hAnsi="Times New Roman"/>
          <w:sz w:val="28"/>
        </w:rPr>
        <w:t xml:space="preserve">, лицензионный договор необходимо заключать с первого года производства семян. </w:t>
      </w:r>
      <w:bookmarkStart w:id="1" w:name="_GoBack"/>
      <w:bookmarkEnd w:id="1"/>
    </w:p>
    <w:p w14:paraId="0C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Это распространяется на культуры, перечисленные в Постановлении Правительства РФ от 04.10.2007 № 643: горох посевной, гречиха, картофель, овёс, просо, пшеница мягкая и твёрдая, рожь, тритикале, ячмень. </w:t>
      </w:r>
    </w:p>
    <w:p w14:paraId="0D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апробации семенных посевов льна, подсолнечника, сои, рапса, конопли и других культур, не включённых в перечень Постановления № 643, обязателен лицензионный договор с патентообладателем на производство семян с первого года производства.</w:t>
      </w:r>
    </w:p>
    <w:p w14:paraId="0E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текущий момент с</w:t>
      </w:r>
      <w:r>
        <w:rPr>
          <w:rFonts w:ascii="Times New Roman" w:hAnsi="Times New Roman"/>
          <w:sz w:val="28"/>
        </w:rPr>
        <w:t>пециалист</w:t>
      </w:r>
      <w:r>
        <w:rPr>
          <w:rFonts w:ascii="Times New Roman" w:hAnsi="Times New Roman"/>
          <w:sz w:val="28"/>
        </w:rPr>
        <w:t>ами</w:t>
      </w:r>
      <w:r>
        <w:rPr>
          <w:rFonts w:ascii="Times New Roman" w:hAnsi="Times New Roman"/>
          <w:sz w:val="28"/>
        </w:rPr>
        <w:t xml:space="preserve"> филиала ФГБУ «</w:t>
      </w:r>
      <w:r>
        <w:rPr>
          <w:rFonts w:ascii="Times New Roman" w:hAnsi="Times New Roman"/>
          <w:sz w:val="28"/>
        </w:rPr>
        <w:t>Россельхозцентр</w:t>
      </w:r>
      <w:r>
        <w:rPr>
          <w:rFonts w:ascii="Times New Roman" w:hAnsi="Times New Roman"/>
          <w:sz w:val="28"/>
        </w:rPr>
        <w:t xml:space="preserve">» по Красноярскому краю </w:t>
      </w:r>
      <w:r>
        <w:rPr>
          <w:rFonts w:ascii="Times New Roman" w:hAnsi="Times New Roman"/>
          <w:sz w:val="28"/>
        </w:rPr>
        <w:t xml:space="preserve">проведена апробация семенных посевов на </w:t>
      </w:r>
      <w:r>
        <w:rPr>
          <w:rFonts w:ascii="Times New Roman" w:hAnsi="Times New Roman"/>
          <w:sz w:val="28"/>
        </w:rPr>
        <w:t xml:space="preserve">площади </w:t>
      </w:r>
      <w:r>
        <w:rPr>
          <w:rFonts w:ascii="Times New Roman" w:hAnsi="Times New Roman"/>
          <w:sz w:val="28"/>
        </w:rPr>
        <w:t>88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>75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тыс. га,</w:t>
      </w:r>
      <w:r>
        <w:rPr>
          <w:rFonts w:ascii="Times New Roman" w:hAnsi="Times New Roman"/>
          <w:sz w:val="28"/>
        </w:rPr>
        <w:t xml:space="preserve"> обследования проводились с занесением на к</w:t>
      </w:r>
      <w:r>
        <w:rPr>
          <w:rFonts w:ascii="Times New Roman" w:hAnsi="Times New Roman"/>
          <w:sz w:val="28"/>
        </w:rPr>
        <w:t>арту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координат апробируемых посевов – всего </w:t>
      </w:r>
      <w:r>
        <w:rPr>
          <w:rFonts w:ascii="Times New Roman" w:hAnsi="Times New Roman"/>
          <w:sz w:val="28"/>
        </w:rPr>
        <w:t>1857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геоточ</w:t>
      </w:r>
      <w:r>
        <w:rPr>
          <w:rFonts w:ascii="Times New Roman" w:hAnsi="Times New Roman"/>
          <w:sz w:val="28"/>
        </w:rPr>
        <w:t>ек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0F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highlight w:val="white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widowControl w:val="1"/>
        <w:ind w:hanging="360" w:left="150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22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94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6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8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10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82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54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260"/>
      </w:pPr>
      <w:rPr>
        <w:rFonts w:ascii="Wingdings" w:hAnsi="Wingdings"/>
      </w:rPr>
    </w:lvl>
  </w:abstractNum>
  <w:abstractNum w:abstractNumId="1">
    <w:lvl w:ilvl="0">
      <w:start w:val="1"/>
      <w:numFmt w:val="decimal"/>
      <w:lvlText w:val="%1)"/>
      <w:lvlJc w:val="left"/>
      <w:pPr>
        <w:widowControl w:val="1"/>
        <w:ind w:hanging="360" w:left="927"/>
      </w:pPr>
    </w:lvl>
    <w:lvl w:ilvl="1">
      <w:start w:val="1"/>
      <w:numFmt w:val="lowerLetter"/>
      <w:lvlText w:val="%2."/>
      <w:lvlJc w:val="left"/>
      <w:pPr>
        <w:widowControl w:val="1"/>
        <w:ind w:hanging="360" w:left="1647"/>
      </w:pPr>
    </w:lvl>
    <w:lvl w:ilvl="2">
      <w:start w:val="1"/>
      <w:numFmt w:val="lowerRoman"/>
      <w:lvlText w:val="%3."/>
      <w:lvlJc w:val="right"/>
      <w:pPr>
        <w:widowControl w:val="1"/>
        <w:ind w:hanging="180" w:left="2367"/>
      </w:pPr>
    </w:lvl>
    <w:lvl w:ilvl="3">
      <w:start w:val="1"/>
      <w:numFmt w:val="decimal"/>
      <w:lvlText w:val="%4."/>
      <w:lvlJc w:val="left"/>
      <w:pPr>
        <w:widowControl w:val="1"/>
        <w:ind w:hanging="360" w:left="3087"/>
      </w:pPr>
    </w:lvl>
    <w:lvl w:ilvl="4">
      <w:start w:val="1"/>
      <w:numFmt w:val="lowerLetter"/>
      <w:lvlText w:val="%5."/>
      <w:lvlJc w:val="left"/>
      <w:pPr>
        <w:widowControl w:val="1"/>
        <w:ind w:hanging="360" w:left="3807"/>
      </w:pPr>
    </w:lvl>
    <w:lvl w:ilvl="5">
      <w:start w:val="1"/>
      <w:numFmt w:val="lowerRoman"/>
      <w:lvlText w:val="%6."/>
      <w:lvlJc w:val="right"/>
      <w:pPr>
        <w:widowControl w:val="1"/>
        <w:ind w:hanging="180" w:left="4527"/>
      </w:pPr>
    </w:lvl>
    <w:lvl w:ilvl="6">
      <w:start w:val="1"/>
      <w:numFmt w:val="decimal"/>
      <w:lvlText w:val="%7."/>
      <w:lvlJc w:val="left"/>
      <w:pPr>
        <w:widowControl w:val="1"/>
        <w:ind w:hanging="360" w:left="5247"/>
      </w:pPr>
    </w:lvl>
    <w:lvl w:ilvl="7">
      <w:start w:val="1"/>
      <w:numFmt w:val="lowerLetter"/>
      <w:lvlText w:val="%8."/>
      <w:lvlJc w:val="left"/>
      <w:pPr>
        <w:widowControl w:val="1"/>
        <w:ind w:hanging="360" w:left="5967"/>
      </w:pPr>
    </w:lvl>
    <w:lvl w:ilvl="8">
      <w:start w:val="1"/>
      <w:numFmt w:val="lowerRoman"/>
      <w:lvlText w:val="%9."/>
      <w:lvlJc w:val="right"/>
      <w:pPr>
        <w:widowControl w:val="1"/>
        <w:ind w:hanging="180" w:left="6687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1" w:type="paragraph">
    <w:name w:val="List Paragraph"/>
    <w:basedOn w:val="Style_2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2_ch"/>
    <w:link w:val="Style_1"/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Balloon Text"/>
    <w:basedOn w:val="Style_2"/>
    <w:link w:val="Style_10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0_ch" w:type="character">
    <w:name w:val="Balloon Text"/>
    <w:basedOn w:val="Style_2_ch"/>
    <w:link w:val="Style_10"/>
    <w:rPr>
      <w:rFonts w:ascii="Tahoma" w:hAnsi="Tahoma"/>
      <w:sz w:val="16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6" w:type="table">
    <w:name w:val="Table Grid"/>
    <w:basedOn w:val="Style_25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MyOffice-CoreFramework-iOS/42-1452.1159.10689.1080.1@212e8e4dd60dd51ea4bca79400101cc95b98d843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2023-10-18T02:30:00Z</dcterms:created>
  <dcterms:modified xsi:type="dcterms:W3CDTF">2026-09-01T07:03:00Z</dcterms:modified>
</cp:coreProperties>
</file>