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Готовимся к аккредитации межрайонных лабораторий </w:t>
      </w:r>
    </w:p>
    <w:p w14:paraId="02000000">
      <w:pPr>
        <w:widowControl w:val="1"/>
        <w:ind/>
        <w:jc w:val="center"/>
        <w:rPr>
          <w:rFonts w:ascii="Times New Roman" w:hAnsi="Times New Roman"/>
          <w:sz w:val="28"/>
        </w:rPr>
      </w:pPr>
    </w:p>
    <w:p w14:paraId="03000000">
      <w:pPr>
        <w:widowControl w:val="1"/>
        <w:tabs>
          <w:tab w:leader="none" w:pos="408" w:val="left"/>
        </w:tabs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Для соблюдения требований Федерального Закона от 30.12.2021 N 454-ФЗ «О семеноводстве» в Красноярском филиале ФГБУ «Россельхозцентр» началась подготовка трех межрайонных испытательных лабораторий</w:t>
      </w:r>
      <w:r>
        <w:rPr>
          <w:rFonts w:ascii="Times New Roman" w:hAnsi="Times New Roman"/>
          <w:sz w:val="28"/>
        </w:rPr>
        <w:t xml:space="preserve"> к аккредитации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Уже внесены изменения в штатное расписание и обозначены специалисты, разработаны матрицы полномочий, создана рабочая группа по подготовке к аккредитации. </w:t>
      </w:r>
      <w:r>
        <w:rPr>
          <w:rFonts w:ascii="Times New Roman" w:hAnsi="Times New Roman"/>
          <w:sz w:val="28"/>
        </w:rPr>
        <w:t>С 25 по 28 мая 2026 года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 городе Красноярске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проходила подготовка специалистов филиала на курсах </w:t>
      </w:r>
      <w:bookmarkStart w:id="1" w:name="_GoBack"/>
      <w:bookmarkEnd w:id="1"/>
      <w:r>
        <w:rPr>
          <w:rFonts w:ascii="Times New Roman" w:hAnsi="Times New Roman"/>
          <w:sz w:val="28"/>
        </w:rPr>
        <w:t xml:space="preserve">повышения квалификации </w:t>
      </w:r>
      <w:r>
        <w:rPr>
          <w:rFonts w:ascii="Times New Roman" w:hAnsi="Times New Roman"/>
          <w:sz w:val="28"/>
        </w:rPr>
        <w:t xml:space="preserve">в очной форме </w:t>
      </w:r>
      <w:r>
        <w:rPr>
          <w:rFonts w:ascii="Times New Roman" w:hAnsi="Times New Roman"/>
          <w:sz w:val="28"/>
        </w:rPr>
        <w:t xml:space="preserve">по направлениям: </w:t>
      </w:r>
    </w:p>
    <w:p w14:paraId="04000000">
      <w:pPr>
        <w:pStyle w:val="Style_1"/>
        <w:widowControl w:val="1"/>
        <w:numPr>
          <w:ilvl w:val="0"/>
          <w:numId w:val="1"/>
        </w:numPr>
        <w:tabs>
          <w:tab w:leader="none" w:pos="408" w:val="left"/>
        </w:tabs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Разбор требований критериев аккредитации и ГОСТ </w:t>
      </w:r>
      <w:r>
        <w:rPr>
          <w:rFonts w:ascii="Times New Roman" w:hAnsi="Times New Roman"/>
          <w:color w:val="000000"/>
          <w:sz w:val="28"/>
        </w:rPr>
        <w:t>ISO</w:t>
      </w:r>
      <w:r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IEC</w:t>
      </w:r>
      <w:r>
        <w:rPr>
          <w:rFonts w:ascii="Times New Roman" w:hAnsi="Times New Roman"/>
          <w:color w:val="000000"/>
          <w:sz w:val="28"/>
        </w:rPr>
        <w:t xml:space="preserve"> 17025-2019</w:t>
      </w:r>
      <w:r>
        <w:rPr>
          <w:rFonts w:ascii="Times New Roman" w:hAnsi="Times New Roman"/>
          <w:color w:val="000000"/>
          <w:sz w:val="28"/>
        </w:rPr>
        <w:t xml:space="preserve">,  </w:t>
      </w:r>
    </w:p>
    <w:p w14:paraId="05000000">
      <w:pPr>
        <w:pStyle w:val="Style_1"/>
        <w:widowControl w:val="1"/>
        <w:numPr>
          <w:ilvl w:val="0"/>
          <w:numId w:val="1"/>
        </w:numPr>
        <w:tabs>
          <w:tab w:leader="none" w:pos="408" w:val="left"/>
        </w:tabs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Внутренний аудит системы менеджмента качества согласно требованиям ГОСТ </w:t>
      </w:r>
      <w:r>
        <w:rPr>
          <w:rFonts w:ascii="Times New Roman" w:hAnsi="Times New Roman"/>
          <w:color w:val="000000"/>
          <w:sz w:val="28"/>
        </w:rPr>
        <w:t>ISO</w:t>
      </w:r>
      <w:r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IEC</w:t>
      </w:r>
      <w:r>
        <w:rPr>
          <w:rFonts w:ascii="Times New Roman" w:hAnsi="Times New Roman"/>
          <w:color w:val="000000"/>
          <w:sz w:val="28"/>
        </w:rPr>
        <w:t xml:space="preserve"> 17025-2019 и ГОСТ Р ИСО 19011-2021</w:t>
      </w:r>
      <w:r>
        <w:rPr>
          <w:rFonts w:ascii="Times New Roman" w:hAnsi="Times New Roman"/>
          <w:color w:val="000000"/>
          <w:sz w:val="28"/>
        </w:rPr>
        <w:t>,</w:t>
      </w:r>
    </w:p>
    <w:p w14:paraId="06000000">
      <w:pPr>
        <w:pStyle w:val="Style_1"/>
        <w:widowControl w:val="1"/>
        <w:numPr>
          <w:ilvl w:val="0"/>
          <w:numId w:val="1"/>
        </w:numPr>
        <w:tabs>
          <w:tab w:leader="none" w:pos="408" w:val="left"/>
        </w:tabs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Менеджер по качеству испытательной лаборатории.</w:t>
      </w:r>
    </w:p>
    <w:p w14:paraId="07000000">
      <w:pPr>
        <w:widowControl w:val="1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Курсы проводили </w:t>
      </w:r>
      <w:r>
        <w:rPr>
          <w:rFonts w:ascii="Times New Roman" w:hAnsi="Times New Roman"/>
          <w:color w:val="000000"/>
          <w:sz w:val="28"/>
        </w:rPr>
        <w:t>действующие аттестованные эксперты национальной системы аккредитации (</w:t>
      </w:r>
      <w:r>
        <w:rPr>
          <w:rFonts w:ascii="Times New Roman" w:hAnsi="Times New Roman"/>
          <w:color w:val="000000"/>
          <w:sz w:val="28"/>
        </w:rPr>
        <w:t>Росаккредитация</w:t>
      </w:r>
      <w:r>
        <w:rPr>
          <w:rFonts w:ascii="Times New Roman" w:hAnsi="Times New Roman"/>
          <w:color w:val="000000"/>
          <w:sz w:val="28"/>
        </w:rPr>
        <w:t>)</w:t>
      </w:r>
      <w:r>
        <w:rPr>
          <w:rFonts w:ascii="Times New Roman" w:hAnsi="Times New Roman"/>
          <w:color w:val="000000"/>
          <w:sz w:val="28"/>
        </w:rPr>
        <w:t xml:space="preserve"> Коротаев Павел Владимирович и Бортник Ксения Аркадьевна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</w:p>
    <w:p w14:paraId="08000000">
      <w:pPr>
        <w:widowControl w:val="1"/>
        <w:ind w:firstLine="708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В рамках четырехдневного курса </w:t>
      </w:r>
      <w:r>
        <w:rPr>
          <w:rFonts w:ascii="Times New Roman" w:hAnsi="Times New Roman"/>
          <w:sz w:val="28"/>
        </w:rPr>
        <w:t>специалисты филиала узнали</w:t>
      </w:r>
      <w:r>
        <w:rPr>
          <w:rFonts w:ascii="Times New Roman" w:hAnsi="Times New Roman"/>
          <w:sz w:val="28"/>
        </w:rPr>
        <w:t xml:space="preserve"> особенност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 xml:space="preserve"> использования ГОСТ </w:t>
      </w:r>
      <w:r>
        <w:rPr>
          <w:rFonts w:ascii="Times New Roman" w:hAnsi="Times New Roman"/>
          <w:sz w:val="28"/>
        </w:rPr>
        <w:t>ISO</w:t>
      </w:r>
      <w:r>
        <w:rPr>
          <w:rFonts w:ascii="Times New Roman" w:hAnsi="Times New Roman"/>
          <w:sz w:val="28"/>
        </w:rPr>
        <w:t>/</w:t>
      </w:r>
      <w:r>
        <w:rPr>
          <w:rFonts w:ascii="Times New Roman" w:hAnsi="Times New Roman"/>
          <w:sz w:val="28"/>
        </w:rPr>
        <w:t>IEC</w:t>
      </w:r>
      <w:r>
        <w:rPr>
          <w:rFonts w:ascii="Times New Roman" w:hAnsi="Times New Roman"/>
          <w:sz w:val="28"/>
        </w:rPr>
        <w:t xml:space="preserve"> 17025-2019, его требования, требования законодательства об аккредитации, обеспечени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единства измерений. В ходе практических </w:t>
      </w:r>
      <w:r>
        <w:rPr>
          <w:rFonts w:ascii="Times New Roman" w:hAnsi="Times New Roman"/>
          <w:sz w:val="28"/>
        </w:rPr>
        <w:t xml:space="preserve">тренингов </w:t>
      </w:r>
      <w:r>
        <w:rPr>
          <w:rFonts w:ascii="Times New Roman" w:hAnsi="Times New Roman"/>
          <w:sz w:val="28"/>
        </w:rPr>
        <w:t xml:space="preserve">они </w:t>
      </w:r>
      <w:r>
        <w:rPr>
          <w:rFonts w:ascii="Times New Roman" w:hAnsi="Times New Roman"/>
          <w:sz w:val="28"/>
        </w:rPr>
        <w:t>получили</w:t>
      </w:r>
      <w:r>
        <w:rPr>
          <w:rFonts w:ascii="Times New Roman" w:hAnsi="Times New Roman"/>
          <w:sz w:val="28"/>
        </w:rPr>
        <w:t xml:space="preserve"> ценные навыки, нашли</w:t>
      </w:r>
      <w:r>
        <w:rPr>
          <w:rFonts w:ascii="Times New Roman" w:hAnsi="Times New Roman"/>
          <w:sz w:val="28"/>
        </w:rPr>
        <w:t xml:space="preserve"> ответы на вопросы, решения, научились </w:t>
      </w:r>
      <w:r>
        <w:rPr>
          <w:rFonts w:ascii="Times New Roman" w:hAnsi="Times New Roman"/>
          <w:sz w:val="28"/>
        </w:rPr>
        <w:t>преодоле</w:t>
      </w:r>
      <w:r>
        <w:rPr>
          <w:rFonts w:ascii="Times New Roman" w:hAnsi="Times New Roman"/>
          <w:sz w:val="28"/>
        </w:rPr>
        <w:t>вать</w:t>
      </w:r>
      <w:r>
        <w:rPr>
          <w:rFonts w:ascii="Times New Roman" w:hAnsi="Times New Roman"/>
          <w:sz w:val="28"/>
        </w:rPr>
        <w:t xml:space="preserve"> различны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ситуаци</w:t>
      </w:r>
      <w:r>
        <w:rPr>
          <w:rFonts w:ascii="Times New Roman" w:hAnsi="Times New Roman"/>
          <w:sz w:val="28"/>
        </w:rPr>
        <w:t>и</w:t>
      </w:r>
      <w:r>
        <w:rPr>
          <w:rFonts w:ascii="Times New Roman" w:hAnsi="Times New Roman"/>
          <w:sz w:val="28"/>
        </w:rPr>
        <w:t>.</w:t>
      </w:r>
    </w:p>
    <w:p w14:paraId="09000000">
      <w:pPr>
        <w:widowControl w:val="1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Полученная в ходе живого общения информация позволит </w:t>
      </w:r>
      <w:r>
        <w:rPr>
          <w:rFonts w:ascii="Times New Roman" w:hAnsi="Times New Roman"/>
          <w:sz w:val="28"/>
        </w:rPr>
        <w:t xml:space="preserve">специалистам </w:t>
      </w:r>
      <w:r>
        <w:rPr>
          <w:rFonts w:ascii="Times New Roman" w:hAnsi="Times New Roman"/>
          <w:sz w:val="28"/>
        </w:rPr>
        <w:t xml:space="preserve">приобрести компетенции, необходимые для работы в области аккредитации и управления качеством в испытательных лабораториях. </w:t>
      </w:r>
    </w:p>
    <w:p w14:paraId="0A000000">
      <w:pPr>
        <w:widowControl w:val="1"/>
        <w:ind w:firstLine="708"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widowControl w:val="1"/>
        <w:ind w:hanging="360" w:left="360"/>
      </w:pPr>
    </w:lvl>
    <w:lvl w:ilvl="1">
      <w:start w:val="1"/>
      <w:numFmt w:val="lowerLetter"/>
      <w:lvlText w:val="%2."/>
      <w:lvlJc w:val="left"/>
      <w:pPr>
        <w:widowControl w:val="1"/>
        <w:ind w:hanging="360" w:left="1080"/>
      </w:pPr>
    </w:lvl>
    <w:lvl w:ilvl="2">
      <w:start w:val="1"/>
      <w:numFmt w:val="lowerRoman"/>
      <w:lvlText w:val="%3."/>
      <w:lvlJc w:val="right"/>
      <w:pPr>
        <w:widowControl w:val="1"/>
        <w:ind w:hanging="180" w:left="1800"/>
      </w:pPr>
    </w:lvl>
    <w:lvl w:ilvl="3">
      <w:start w:val="1"/>
      <w:numFmt w:val="decimal"/>
      <w:lvlText w:val="%4."/>
      <w:lvlJc w:val="left"/>
      <w:pPr>
        <w:widowControl w:val="1"/>
        <w:ind w:hanging="360" w:left="2520"/>
      </w:pPr>
    </w:lvl>
    <w:lvl w:ilvl="4">
      <w:start w:val="1"/>
      <w:numFmt w:val="lowerLetter"/>
      <w:lvlText w:val="%5."/>
      <w:lvlJc w:val="left"/>
      <w:pPr>
        <w:widowControl w:val="1"/>
        <w:ind w:hanging="360" w:left="3240"/>
      </w:pPr>
    </w:lvl>
    <w:lvl w:ilvl="5">
      <w:start w:val="1"/>
      <w:numFmt w:val="lowerRoman"/>
      <w:lvlText w:val="%6."/>
      <w:lvlJc w:val="right"/>
      <w:pPr>
        <w:widowControl w:val="1"/>
        <w:ind w:hanging="180" w:left="3960"/>
      </w:pPr>
    </w:lvl>
    <w:lvl w:ilvl="6">
      <w:start w:val="1"/>
      <w:numFmt w:val="decimal"/>
      <w:lvlText w:val="%7."/>
      <w:lvlJc w:val="left"/>
      <w:pPr>
        <w:widowControl w:val="1"/>
        <w:ind w:hanging="360" w:left="4680"/>
      </w:pPr>
    </w:lvl>
    <w:lvl w:ilvl="7">
      <w:start w:val="1"/>
      <w:numFmt w:val="lowerLetter"/>
      <w:lvlText w:val="%8."/>
      <w:lvlJc w:val="left"/>
      <w:pPr>
        <w:widowControl w:val="1"/>
        <w:ind w:hanging="360" w:left="5400"/>
      </w:pPr>
    </w:lvl>
    <w:lvl w:ilvl="8">
      <w:start w:val="1"/>
      <w:numFmt w:val="lowerRoman"/>
      <w:lvlText w:val="%9."/>
      <w:lvlJc w:val="right"/>
      <w:pPr>
        <w:widowControl w:val="1"/>
        <w:ind w:hanging="180" w:left="612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1" w:type="paragraph">
    <w:name w:val="List Paragraph"/>
    <w:basedOn w:val="Style_2"/>
    <w:link w:val="Style_1_ch"/>
    <w:pPr>
      <w:widowControl w:val="1"/>
      <w:spacing w:after="200" w:line="276" w:lineRule="auto"/>
      <w:ind w:left="720"/>
      <w:contextualSpacing w:val="1"/>
    </w:pPr>
  </w:style>
  <w:style w:styleId="Style_1_ch" w:type="character">
    <w:name w:val="List Paragraph"/>
    <w:basedOn w:val="Style_2_ch"/>
    <w:link w:val="Style_1"/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2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Body Text"/>
    <w:basedOn w:val="Style_2"/>
    <w:link w:val="Style_10_ch"/>
    <w:pPr>
      <w:widowControl w:val="1"/>
      <w:spacing w:after="0" w:before="600" w:line="240" w:lineRule="auto"/>
      <w:ind/>
      <w:jc w:val="center"/>
    </w:pPr>
    <w:rPr>
      <w:rFonts w:ascii="Times New Roman" w:hAnsi="Times New Roman"/>
      <w:b w:val="1"/>
      <w:sz w:val="24"/>
    </w:rPr>
  </w:style>
  <w:style w:styleId="Style_10_ch" w:type="character">
    <w:name w:val="Body Text"/>
    <w:basedOn w:val="Style_2_ch"/>
    <w:link w:val="Style_10"/>
    <w:rPr>
      <w:rFonts w:ascii="Times New Roman" w:hAnsi="Times New Roman"/>
      <w:b w:val="1"/>
      <w:sz w:val="24"/>
    </w:rPr>
  </w:style>
  <w:style w:styleId="Style_11" w:type="paragraph">
    <w:name w:val="toc 3"/>
    <w:next w:val="Style_2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2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2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2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2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2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2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2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2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2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2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6" w:type="table">
    <w:name w:val="Table Grid"/>
    <w:basedOn w:val="Style_25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MyOffice-CoreFramework-iOS/41-1442.1138.10597.1072.1@94e429173c6a8a1caf78b2fefb84b23d56a4ad29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2026-05-28T07:07:00Z</dcterms:created>
  <dcterms:modified xsi:type="dcterms:W3CDTF">2026-05-28T08:58:00Z</dcterms:modified>
</cp:coreProperties>
</file>