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/>
        <w:contextualSpacing w:val="1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Подготовка семенного картофеля к посадке</w:t>
      </w:r>
    </w:p>
    <w:p w14:paraId="02000000">
      <w:pPr>
        <w:widowControl w:val="1"/>
        <w:spacing w:after="0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Аграрии Красноярского края активно готовятся к началу посевной кампании 2026 года. </w:t>
      </w:r>
      <w:r>
        <w:rPr>
          <w:rFonts w:ascii="Times New Roman" w:hAnsi="Times New Roman"/>
          <w:color w:val="000000"/>
          <w:sz w:val="28"/>
        </w:rPr>
        <w:t>Одним</w:t>
      </w:r>
      <w:r>
        <w:rPr>
          <w:rFonts w:ascii="Times New Roman" w:hAnsi="Times New Roman"/>
          <w:color w:val="000000"/>
          <w:sz w:val="28"/>
        </w:rPr>
        <w:t xml:space="preserve"> из основных залогов хорошего урожая является </w:t>
      </w:r>
      <w:r>
        <w:rPr>
          <w:rFonts w:ascii="Times New Roman" w:hAnsi="Times New Roman"/>
          <w:color w:val="000000"/>
          <w:sz w:val="28"/>
        </w:rPr>
        <w:t xml:space="preserve">качественный </w:t>
      </w:r>
      <w:r>
        <w:rPr>
          <w:rFonts w:ascii="Times New Roman" w:hAnsi="Times New Roman"/>
          <w:color w:val="000000"/>
          <w:sz w:val="28"/>
        </w:rPr>
        <w:t>семенной материал, соответствующий требованиям стандартов.</w:t>
      </w:r>
    </w:p>
    <w:p w14:paraId="03000000">
      <w:pPr>
        <w:widowControl w:val="1"/>
        <w:spacing w:after="0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 производстве семенного картофеля особое внимание необходимо уделять качеству семенного материала, а также соблюдению требований нормативной документации. Качество семенного картофеля регламентируется Приказом № 246 Минсельхоза России от 08.05.2024 «Об утверждении Требований к показателям сортовых и посевных (посадочных) качеств семян сельскохозяйственных растений и форм документов, содержащих сведения об указанных показателях»</w:t>
      </w:r>
      <w:r>
        <w:rPr>
          <w:rFonts w:ascii="Times New Roman" w:hAnsi="Times New Roman"/>
          <w:color w:val="000000"/>
          <w:sz w:val="28"/>
        </w:rPr>
        <w:t xml:space="preserve"> и ГОСТ 33996-2016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widowControl w:val="1"/>
        <w:spacing w:after="0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Филиал ФГБУ «</w:t>
      </w:r>
      <w:r>
        <w:rPr>
          <w:rFonts w:ascii="Times New Roman" w:hAnsi="Times New Roman"/>
          <w:color w:val="000000"/>
          <w:sz w:val="28"/>
        </w:rPr>
        <w:t>Россельхозцентр</w:t>
      </w:r>
      <w:r>
        <w:rPr>
          <w:rFonts w:ascii="Times New Roman" w:hAnsi="Times New Roman"/>
          <w:color w:val="000000"/>
          <w:sz w:val="28"/>
        </w:rPr>
        <w:t>» по Красноярскому краю проводит клубневой анализ семенного картофеля по заявкам сельхозтоваропроизводителей на соответствие требованиям</w:t>
      </w:r>
      <w:r>
        <w:rPr>
          <w:rFonts w:ascii="Times New Roman" w:hAnsi="Times New Roman"/>
          <w:color w:val="000000"/>
          <w:sz w:val="28"/>
        </w:rPr>
        <w:t xml:space="preserve"> нормативных документов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Оценка состояния посадочного материала картофеля проводится </w:t>
      </w:r>
      <w:r>
        <w:rPr>
          <w:rFonts w:ascii="Times New Roman" w:hAnsi="Times New Roman"/>
          <w:color w:val="000000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>таким</w:t>
      </w:r>
      <w:r>
        <w:rPr>
          <w:rFonts w:ascii="Times New Roman" w:hAnsi="Times New Roman"/>
          <w:color w:val="000000"/>
          <w:sz w:val="28"/>
        </w:rPr>
        <w:t xml:space="preserve"> показателям как </w:t>
      </w:r>
      <w:r>
        <w:rPr>
          <w:rFonts w:ascii="Times New Roman" w:hAnsi="Times New Roman"/>
          <w:color w:val="000000"/>
          <w:sz w:val="28"/>
        </w:rPr>
        <w:t>размер клубней, наличи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или отсутстви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примеси других ботанических сортов, </w:t>
      </w:r>
      <w:r>
        <w:rPr>
          <w:rFonts w:ascii="Times New Roman" w:hAnsi="Times New Roman"/>
          <w:color w:val="000000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 xml:space="preserve">визуальным признакам поражения заболеваниями, </w:t>
      </w:r>
      <w:r>
        <w:rPr>
          <w:rFonts w:ascii="Times New Roman" w:hAnsi="Times New Roman"/>
          <w:color w:val="000000"/>
          <w:sz w:val="28"/>
        </w:rPr>
        <w:t>в том числе</w:t>
      </w:r>
      <w:r>
        <w:rPr>
          <w:rFonts w:ascii="Times New Roman" w:hAnsi="Times New Roman"/>
          <w:color w:val="000000"/>
          <w:sz w:val="28"/>
        </w:rPr>
        <w:t xml:space="preserve"> мокрые гнили, сухие гнили, кольцевая гниль, ризоктониоз, разные виды парши, </w:t>
      </w:r>
      <w:r>
        <w:rPr>
          <w:rFonts w:ascii="Times New Roman" w:hAnsi="Times New Roman"/>
          <w:color w:val="000000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>наличию механических повреждений, повреждений вредителями и другим</w:t>
      </w:r>
      <w:r>
        <w:rPr>
          <w:rFonts w:ascii="Times New Roman" w:hAnsi="Times New Roman"/>
          <w:color w:val="000000"/>
          <w:sz w:val="28"/>
        </w:rPr>
        <w:t xml:space="preserve"> показателям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Особое внимание необходимо уделять отсутствию в семенном материале карантинных объектов, в частности золотистой и бледной картофельных нематод, </w:t>
      </w:r>
      <w:r>
        <w:rPr>
          <w:rFonts w:ascii="Times New Roman" w:hAnsi="Times New Roman"/>
          <w:color w:val="000000"/>
          <w:sz w:val="28"/>
        </w:rPr>
        <w:t>вироида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веретеновидности</w:t>
      </w:r>
      <w:r>
        <w:rPr>
          <w:rFonts w:ascii="Times New Roman" w:hAnsi="Times New Roman"/>
          <w:color w:val="000000"/>
          <w:sz w:val="28"/>
        </w:rPr>
        <w:t xml:space="preserve"> клубней картофеля, бурой бактериальной гнили и др. </w:t>
      </w:r>
    </w:p>
    <w:p w14:paraId="05000000">
      <w:pPr>
        <w:widowControl w:val="1"/>
        <w:spacing w:after="0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Также, согласно требованиям Приказа № 246 Минсельхоза России от 08.05.2024, во всех категориях семенного картофеля установлен</w:t>
      </w:r>
      <w:r>
        <w:rPr>
          <w:rFonts w:ascii="Times New Roman" w:hAnsi="Times New Roman"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норм</w:t>
      </w:r>
      <w:r>
        <w:rPr>
          <w:rFonts w:ascii="Times New Roman" w:hAnsi="Times New Roman"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по вирусной и бактериальной инфекци</w:t>
      </w:r>
      <w:r>
        <w:rPr>
          <w:rFonts w:ascii="Times New Roman" w:hAnsi="Times New Roman"/>
          <w:color w:val="000000"/>
          <w:sz w:val="28"/>
        </w:rPr>
        <w:t>ям</w:t>
      </w:r>
      <w:r>
        <w:rPr>
          <w:rFonts w:ascii="Times New Roman" w:hAnsi="Times New Roman"/>
          <w:color w:val="000000"/>
          <w:sz w:val="28"/>
        </w:rPr>
        <w:t>, определяем</w:t>
      </w:r>
      <w:r>
        <w:rPr>
          <w:rFonts w:ascii="Times New Roman" w:hAnsi="Times New Roman"/>
          <w:color w:val="000000"/>
          <w:sz w:val="28"/>
        </w:rPr>
        <w:t>ым</w:t>
      </w:r>
      <w:r>
        <w:rPr>
          <w:rFonts w:ascii="Times New Roman" w:hAnsi="Times New Roman"/>
          <w:color w:val="000000"/>
          <w:sz w:val="28"/>
        </w:rPr>
        <w:t xml:space="preserve"> методами ПЦР и</w:t>
      </w:r>
      <w:r>
        <w:rPr>
          <w:rFonts w:ascii="Times New Roman" w:hAnsi="Times New Roman"/>
          <w:color w:val="000000"/>
          <w:sz w:val="28"/>
        </w:rPr>
        <w:t xml:space="preserve"> (или)</w:t>
      </w:r>
      <w:r>
        <w:rPr>
          <w:rFonts w:ascii="Times New Roman" w:hAnsi="Times New Roman"/>
          <w:color w:val="000000"/>
          <w:sz w:val="28"/>
        </w:rPr>
        <w:t xml:space="preserve"> ИФА. Испытательная лаборатория филиала </w:t>
      </w:r>
      <w:r>
        <w:rPr>
          <w:rFonts w:ascii="Times New Roman" w:hAnsi="Times New Roman"/>
          <w:color w:val="000000"/>
          <w:sz w:val="28"/>
        </w:rPr>
        <w:t>оснащена оборудованием и необходимыми ресурсами для проведения ПЦР-диагностики. Весь объём партий семенного картофеля, заявленный к посадке, проходит лаборатор</w:t>
      </w:r>
      <w:r>
        <w:rPr>
          <w:rFonts w:ascii="Times New Roman" w:hAnsi="Times New Roman"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тестирование методом ПЦР. </w:t>
      </w:r>
    </w:p>
    <w:p w14:paraId="06000000">
      <w:pPr>
        <w:widowControl w:val="1"/>
        <w:spacing w:after="0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До начала посадки картофелеводы должны довести посадочный материал до требований </w:t>
      </w:r>
      <w:r>
        <w:rPr>
          <w:rFonts w:ascii="Times New Roman" w:hAnsi="Times New Roman"/>
          <w:color w:val="000000"/>
          <w:sz w:val="28"/>
        </w:rPr>
        <w:t>стандартов</w:t>
      </w:r>
      <w:r>
        <w:rPr>
          <w:rFonts w:ascii="Times New Roman" w:hAnsi="Times New Roman"/>
          <w:color w:val="000000"/>
          <w:sz w:val="28"/>
        </w:rPr>
        <w:t xml:space="preserve"> и получить протокол испытаний или сертификат соответствия на каждую партию. Срок действия таких документов составляет 30 дней.</w:t>
      </w:r>
    </w:p>
    <w:p w14:paraId="07000000">
      <w:pPr>
        <w:widowControl w:val="1"/>
        <w:spacing w:after="0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текущий момент в испытательной лаборатории филиала проверено </w:t>
      </w:r>
      <w:r>
        <w:rPr>
          <w:rFonts w:ascii="Times New Roman" w:hAnsi="Times New Roman"/>
          <w:color w:val="000000"/>
          <w:sz w:val="28"/>
        </w:rPr>
        <w:t>34</w:t>
      </w:r>
      <w:r>
        <w:rPr>
          <w:rFonts w:ascii="Times New Roman" w:hAnsi="Times New Roman"/>
          <w:color w:val="000000"/>
          <w:sz w:val="28"/>
        </w:rPr>
        <w:t xml:space="preserve"> парти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семенного картофеля</w:t>
      </w:r>
      <w:r>
        <w:rPr>
          <w:rFonts w:ascii="Times New Roman" w:hAnsi="Times New Roman"/>
          <w:color w:val="000000"/>
          <w:sz w:val="28"/>
        </w:rPr>
        <w:t xml:space="preserve"> урожая 2025 года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Более 1600</w:t>
      </w:r>
      <w:r>
        <w:rPr>
          <w:rFonts w:ascii="Times New Roman" w:hAnsi="Times New Roman"/>
          <w:color w:val="000000"/>
          <w:sz w:val="28"/>
        </w:rPr>
        <w:t xml:space="preserve"> тонн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картофеля сортов Королева Анна, </w:t>
      </w:r>
      <w:r>
        <w:rPr>
          <w:rFonts w:ascii="Times New Roman" w:hAnsi="Times New Roman"/>
          <w:color w:val="000000"/>
          <w:sz w:val="28"/>
        </w:rPr>
        <w:t>Примабелль</w:t>
      </w:r>
      <w:r>
        <w:rPr>
          <w:rFonts w:ascii="Times New Roman" w:hAnsi="Times New Roman"/>
          <w:color w:val="000000"/>
          <w:sz w:val="28"/>
        </w:rPr>
        <w:t>, Мемфис, Лила, Вега</w:t>
      </w:r>
      <w:r>
        <w:rPr>
          <w:rFonts w:ascii="Times New Roman" w:hAnsi="Times New Roman"/>
          <w:color w:val="000000"/>
          <w:sz w:val="28"/>
        </w:rPr>
        <w:t>, Гала</w:t>
      </w:r>
      <w:r>
        <w:rPr>
          <w:rFonts w:ascii="Times New Roman" w:hAnsi="Times New Roman"/>
          <w:color w:val="000000"/>
          <w:sz w:val="28"/>
        </w:rPr>
        <w:t xml:space="preserve">, Арго, Коломба, Багира, Ньютон, ВР-808, Джулия </w:t>
      </w:r>
      <w:r>
        <w:rPr>
          <w:rFonts w:ascii="Times New Roman" w:hAnsi="Times New Roman"/>
          <w:color w:val="000000"/>
          <w:sz w:val="28"/>
        </w:rPr>
        <w:t xml:space="preserve">уже готовы к посадке и ждут благоприятных погодных условий для начала работ. </w:t>
      </w:r>
    </w:p>
    <w:sectPr>
      <w:pgSz w:h="16838" w:orient="portrait" w:w="11906"/>
      <w:pgMar w:bottom="568" w:footer="709" w:gutter="0" w:header="709" w:left="1701" w:right="624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Обычный (Интернет)1"/>
    <w:basedOn w:val="Style_1"/>
    <w:link w:val="Style_9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9_ch" w:type="character">
    <w:name w:val="Обычный (Интернет)1"/>
    <w:basedOn w:val="Style_1_ch"/>
    <w:link w:val="Style_9"/>
    <w:rPr>
      <w:rFonts w:ascii="Times New Roman" w:hAnsi="Times New Roman"/>
      <w:sz w:val="24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6"/>
    <w:link w:val="Style_13_ch"/>
    <w:rPr>
      <w:color w:themeColor="hyperlink" w:val="0000FF"/>
      <w:u w:val="single"/>
    </w:rPr>
  </w:style>
  <w:style w:styleId="Style_13_ch" w:type="character">
    <w:name w:val="Hyperlink"/>
    <w:basedOn w:val="Style_6_ch"/>
    <w:link w:val="Style_13"/>
    <w:rPr>
      <w:color w:themeColor="hyperlink"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List Paragraph"/>
    <w:basedOn w:val="Style_1"/>
    <w:link w:val="Style_20_ch"/>
    <w:pPr>
      <w:widowControl w:val="1"/>
      <w:ind w:left="720"/>
      <w:contextualSpacing w:val="1"/>
    </w:pPr>
  </w:style>
  <w:style w:styleId="Style_20_ch" w:type="character">
    <w:name w:val="List Paragraph"/>
    <w:basedOn w:val="Style_1_ch"/>
    <w:link w:val="Style_20"/>
  </w:style>
  <w:style w:styleId="Style_21" w:type="paragraph">
    <w:name w:val="Balloon Text"/>
    <w:basedOn w:val="Style_1"/>
    <w:link w:val="Style_21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1_ch" w:type="character">
    <w:name w:val="Balloon Text"/>
    <w:basedOn w:val="Style_1_ch"/>
    <w:link w:val="Style_21"/>
    <w:rPr>
      <w:rFonts w:ascii="Tahoma" w:hAnsi="Tahoma"/>
      <w:sz w:val="16"/>
    </w:rPr>
  </w:style>
  <w:style w:styleId="Style_22" w:type="paragraph">
    <w:name w:val="Subtitle"/>
    <w:next w:val="Style_1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basedOn w:val="Style_1"/>
    <w:next w:val="Style_1"/>
    <w:link w:val="Style_24_ch"/>
    <w:uiPriority w:val="9"/>
    <w:qFormat/>
    <w:pPr>
      <w:keepNext w:val="1"/>
      <w:widowControl w:val="1"/>
      <w:spacing w:after="0" w:line="240" w:lineRule="auto"/>
      <w:ind/>
      <w:jc w:val="center"/>
      <w:outlineLvl w:val="3"/>
    </w:pPr>
    <w:rPr>
      <w:rFonts w:ascii="Times New Roman" w:hAnsi="Times New Roman"/>
      <w:b w:val="1"/>
      <w:sz w:val="28"/>
    </w:rPr>
  </w:style>
  <w:style w:styleId="Style_24_ch" w:type="character">
    <w:name w:val="heading 4"/>
    <w:basedOn w:val="Style_1_ch"/>
    <w:link w:val="Style_24"/>
    <w:rPr>
      <w:rFonts w:ascii="Times New Roman" w:hAnsi="Times New Roman"/>
      <w:b w:val="1"/>
      <w:sz w:val="28"/>
    </w:rPr>
  </w:style>
  <w:style w:styleId="Style_25" w:type="paragraph">
    <w:name w:val="heading 2"/>
    <w:next w:val="Style_1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Неразрешенное упоминание1"/>
    <w:basedOn w:val="Style_6"/>
    <w:link w:val="Style_26_ch"/>
    <w:rPr>
      <w:color w:val="605E5C"/>
      <w:shd w:fill="E1DFDD" w:val="clear"/>
    </w:rPr>
  </w:style>
  <w:style w:styleId="Style_26_ch" w:type="character">
    <w:name w:val="Неразрешенное упоминание1"/>
    <w:basedOn w:val="Style_6_ch"/>
    <w:link w:val="Style_26"/>
    <w:rPr>
      <w:color w:val="605E5C"/>
      <w:shd w:fill="E1DFDD" w:val="clear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27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styleId="Style_29" w:type="table">
    <w:name w:val="Сетка таблицы1"/>
    <w:basedOn w:val="Style_27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MyOffice-CoreFramework-iOS/40-1423.1132.10486.1056.1@7875681add7d56c228e5331fe7c51cf7b4fd13ed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2018-11-12T08:43:00Z</dcterms:created>
  <dcterms:modified xsi:type="dcterms:W3CDTF">2026-04-16T04:25:00Z</dcterms:modified>
</cp:coreProperties>
</file>