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76" w:lineRule="auto"/>
        <w:ind/>
        <w:jc w:val="center"/>
      </w:pPr>
      <w:r>
        <w:rPr>
          <w:rStyle w:val="Style_2_ch"/>
        </w:rPr>
        <w:t>Протравливание семян в Красноярском крае: итоги лабораторного контроля</w:t>
      </w:r>
    </w:p>
    <w:p w14:paraId="02000000">
      <w:pPr>
        <w:pStyle w:val="Style_1"/>
        <w:widowControl w:val="1"/>
        <w:spacing w:after="0" w:before="0" w:line="276" w:lineRule="auto"/>
        <w:ind w:firstLine="709"/>
        <w:jc w:val="both"/>
      </w:pPr>
    </w:p>
    <w:p w14:paraId="03000000">
      <w:pPr>
        <w:pStyle w:val="Style_1"/>
        <w:widowControl w:val="1"/>
        <w:spacing w:after="0" w:before="0" w:line="276" w:lineRule="auto"/>
        <w:ind w:firstLine="709"/>
        <w:jc w:val="both"/>
      </w:pPr>
      <w:r>
        <w:t xml:space="preserve">В 2026 </w:t>
      </w:r>
      <w:r>
        <w:t>году аграриями Красно</w:t>
      </w:r>
      <w:r>
        <w:t>ярского края протравлено 142,86 тыс. тонн семенного материала</w:t>
      </w:r>
      <w:r>
        <w:t xml:space="preserve"> яровых культур</w:t>
      </w:r>
      <w:bookmarkStart w:id="1" w:name="_GoBack"/>
      <w:bookmarkEnd w:id="1"/>
      <w:r>
        <w:t xml:space="preserve"> – </w:t>
      </w:r>
      <w:r>
        <w:t>эта мера остаётся одним из наиболее эффективных способов снижения первичной инфекции и сдерживания развития болезней сельскохозяйственных культур в начале вегетации.</w:t>
      </w:r>
    </w:p>
    <w:p w14:paraId="04000000">
      <w:pPr>
        <w:pStyle w:val="Style_1"/>
        <w:widowControl w:val="1"/>
        <w:spacing w:after="0" w:before="0" w:line="276" w:lineRule="auto"/>
        <w:ind w:firstLine="709"/>
        <w:jc w:val="both"/>
      </w:pPr>
      <w:r>
        <w:t>Испытательная лаборатория филиала провела лабораторный контроль качества протравливания: п</w:t>
      </w:r>
      <w:r>
        <w:t xml:space="preserve">роанализировано 74,53 тыс. тонн семян (52 </w:t>
      </w:r>
      <w:r>
        <w:t xml:space="preserve">% от общего объёма). Исследования </w:t>
      </w:r>
      <w:r>
        <w:t xml:space="preserve">выполнены современными методами </w:t>
      </w:r>
      <w:r>
        <w:t>газовой и жидкостной хроматографии, а для препаратов на основе ТМТД (тирам) применялся метод колориметрии.</w:t>
      </w:r>
    </w:p>
    <w:p w14:paraId="05000000">
      <w:pPr>
        <w:pStyle w:val="Style_1"/>
        <w:widowControl w:val="1"/>
        <w:spacing w:after="0" w:before="0" w:line="276" w:lineRule="auto"/>
        <w:ind w:firstLine="709"/>
        <w:jc w:val="both"/>
      </w:pPr>
      <w:r>
        <w:t xml:space="preserve">Всего исследовано 1062 </w:t>
      </w:r>
      <w:r>
        <w:t>образца из всех округов края, до</w:t>
      </w:r>
      <w:r>
        <w:t xml:space="preserve">полнительно проанализировано 12 </w:t>
      </w:r>
      <w:r>
        <w:t xml:space="preserve">партий </w:t>
      </w:r>
      <w:r>
        <w:t xml:space="preserve">семян </w:t>
      </w:r>
      <w:r>
        <w:t>озимых культур перед посевом. В ходе контроля вы</w:t>
      </w:r>
      <w:r>
        <w:t>явлены отклонения от норм: в 10</w:t>
      </w:r>
      <w:r>
        <w:t xml:space="preserve"> </w:t>
      </w:r>
      <w:r>
        <w:t>образцах зафиксиров</w:t>
      </w:r>
      <w:r>
        <w:t xml:space="preserve">ано превышение показателей, в 4 образцах – </w:t>
      </w:r>
      <w:r>
        <w:t>значения ниже нормы.</w:t>
      </w:r>
    </w:p>
    <w:p w14:paraId="06000000">
      <w:pPr>
        <w:pStyle w:val="Style_1"/>
        <w:widowControl w:val="1"/>
        <w:spacing w:after="0" w:before="0" w:line="276" w:lineRule="auto"/>
        <w:ind w:firstLine="709"/>
        <w:jc w:val="both"/>
      </w:pPr>
      <w:r>
        <w:t>Преобладающими препаратами, использованными сельхозтоваропроизводителями, стали средства на основе тебуконазола и флутриафола.</w:t>
      </w:r>
    </w:p>
    <w:p w14:paraId="07000000">
      <w:pPr>
        <w:pStyle w:val="Style_1"/>
        <w:widowControl w:val="1"/>
        <w:spacing w:after="0" w:before="0" w:line="276" w:lineRule="auto"/>
        <w:ind w:firstLine="709"/>
        <w:jc w:val="both"/>
      </w:pPr>
      <w:r>
        <w:t xml:space="preserve">Специалисты филиала </w:t>
      </w:r>
      <w:r>
        <w:t xml:space="preserve">ФГБУ «Россельхозцентр» по Красноярскому краю </w:t>
      </w:r>
      <w:r>
        <w:t>подчёр</w:t>
      </w:r>
      <w:r>
        <w:t xml:space="preserve">кивают: качество протравливания – </w:t>
      </w:r>
      <w:r>
        <w:t>ключевое условие защиты посевного материала от болезней и вредителей. Лаборатория готова оказывать поддержку сельхозпроизводителям, проводить необходимые исследования и содействовать обеспечению продовольственной безопасности региона.</w:t>
      </w:r>
    </w:p>
    <w:p w14:paraId="08000000">
      <w:pPr>
        <w:widowControl w:val="1"/>
        <w:spacing w:after="0"/>
        <w:ind/>
      </w:pPr>
    </w:p>
    <w:p w14:paraId="09000000">
      <w:pPr>
        <w:widowControl w:val="1"/>
        <w:spacing w:after="0"/>
        <w:ind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" w:type="paragraph">
    <w:name w:val="Normal (Web)"/>
    <w:basedOn w:val="Style_3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3_ch"/>
    <w:link w:val="Style_1"/>
    <w:rPr>
      <w:rFonts w:ascii="Times New Roman" w:hAnsi="Times New Roman"/>
      <w:sz w:val="24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2" w:type="paragraph">
    <w:name w:val="Strong"/>
    <w:basedOn w:val="Style_11"/>
    <w:link w:val="Style_2_ch"/>
    <w:rPr>
      <w:b w:val="1"/>
    </w:rPr>
  </w:style>
  <w:style w:styleId="Style_2_ch" w:type="character">
    <w:name w:val="Strong"/>
    <w:basedOn w:val="Style_11_ch"/>
    <w:link w:val="Style_2"/>
    <w:rPr>
      <w:b w:val="1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MyOffice-CoreFramework-iOS/41-1442.1138.10597.1072.1@94e429173c6a8a1caf78b2fefb84b23d56a4ad29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2026-09-01T06:34:00Z</dcterms:created>
  <dcterms:modified xsi:type="dcterms:W3CDTF">2026-09-01T06:34:00Z</dcterms:modified>
</cp:coreProperties>
</file>