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Autospacing="on" w:beforeAutospacing="on" w:line="240" w:lineRule="auto"/>
        <w:ind/>
        <w:jc w:val="center"/>
        <w:rPr>
          <w:rFonts w:ascii="Times New Roman" w:hAnsi="Times New Roman"/>
          <w:b w:val="1"/>
          <w:color w:themeColor="text1" w:val="000000"/>
          <w:sz w:val="24"/>
        </w:rPr>
      </w:pPr>
      <w:r>
        <w:rPr>
          <w:rFonts w:ascii="Times New Roman" w:hAnsi="Times New Roman"/>
          <w:b w:val="1"/>
          <w:color w:themeColor="text1" w:val="000000"/>
          <w:sz w:val="24"/>
        </w:rPr>
        <w:t>Оценка безопасности овощей</w:t>
      </w:r>
      <w:r>
        <w:rPr>
          <w:rFonts w:ascii="Times New Roman" w:hAnsi="Times New Roman"/>
          <w:b w:val="1"/>
          <w:color w:themeColor="text1" w:val="000000"/>
          <w:sz w:val="24"/>
        </w:rPr>
        <w:t xml:space="preserve"> в Красноярском крае</w:t>
      </w:r>
    </w:p>
    <w:p w14:paraId="02000000">
      <w:pPr>
        <w:widowControl w:val="1"/>
        <w:spacing w:afterAutospacing="on" w:line="240" w:lineRule="auto"/>
        <w:ind w:firstLine="709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Свежие овощи – важная </w:t>
      </w:r>
      <w:r>
        <w:rPr>
          <w:rFonts w:ascii="Times New Roman" w:hAnsi="Times New Roman"/>
          <w:color w:themeColor="text1" w:val="000000"/>
          <w:sz w:val="24"/>
        </w:rPr>
        <w:t>часть рациона</w:t>
      </w:r>
      <w:r>
        <w:rPr>
          <w:rFonts w:ascii="Times New Roman" w:hAnsi="Times New Roman"/>
          <w:color w:themeColor="text1" w:val="000000"/>
          <w:sz w:val="24"/>
        </w:rPr>
        <w:t xml:space="preserve"> для обеспечения организма такими необходимыми веществами как клетчатка, </w:t>
      </w:r>
      <w:r>
        <w:rPr>
          <w:rFonts w:ascii="Times New Roman" w:hAnsi="Times New Roman"/>
          <w:color w:themeColor="text1" w:val="000000"/>
          <w:sz w:val="24"/>
        </w:rPr>
        <w:t xml:space="preserve">витамины и минералы. Между </w:t>
      </w:r>
      <w:r>
        <w:rPr>
          <w:rFonts w:ascii="Times New Roman" w:hAnsi="Times New Roman"/>
          <w:color w:themeColor="text1" w:val="000000"/>
          <w:sz w:val="24"/>
        </w:rPr>
        <w:t>тем с</w:t>
      </w:r>
      <w:r>
        <w:rPr>
          <w:rFonts w:ascii="Times New Roman" w:hAnsi="Times New Roman"/>
          <w:color w:themeColor="text1" w:val="000000"/>
          <w:sz w:val="24"/>
        </w:rPr>
        <w:t xml:space="preserve"> овощами в организм </w:t>
      </w:r>
      <w:r>
        <w:rPr>
          <w:rFonts w:ascii="Times New Roman" w:hAnsi="Times New Roman"/>
          <w:color w:themeColor="text1" w:val="000000"/>
          <w:sz w:val="24"/>
        </w:rPr>
        <w:t xml:space="preserve">могут попасть </w:t>
      </w:r>
      <w:r>
        <w:rPr>
          <w:rFonts w:ascii="Times New Roman" w:hAnsi="Times New Roman"/>
          <w:color w:themeColor="text1" w:val="000000"/>
          <w:sz w:val="24"/>
        </w:rPr>
        <w:t>такие нежелательные «спутники» как остатки пестицидов, нитраты, тяжелые металлы, патогенная микрофлора</w:t>
      </w:r>
      <w:r>
        <w:rPr>
          <w:rFonts w:ascii="Times New Roman" w:hAnsi="Times New Roman"/>
          <w:color w:themeColor="text1" w:val="000000"/>
          <w:sz w:val="24"/>
        </w:rPr>
        <w:t>, радионуклиды</w:t>
      </w:r>
      <w:r>
        <w:rPr>
          <w:rFonts w:ascii="Times New Roman" w:hAnsi="Times New Roman"/>
          <w:color w:themeColor="text1" w:val="000000"/>
          <w:sz w:val="24"/>
        </w:rPr>
        <w:t xml:space="preserve">. Именно поэтому лабораторный контроль становится ключевым звеном и гарантией для </w:t>
      </w:r>
      <w:r>
        <w:rPr>
          <w:rFonts w:ascii="Times New Roman" w:hAnsi="Times New Roman"/>
          <w:color w:themeColor="text1" w:val="000000"/>
          <w:sz w:val="24"/>
        </w:rPr>
        <w:t>обеспечения конечного</w:t>
      </w:r>
      <w:r>
        <w:rPr>
          <w:rFonts w:ascii="Times New Roman" w:hAnsi="Times New Roman"/>
          <w:color w:themeColor="text1" w:val="000000"/>
          <w:sz w:val="24"/>
        </w:rPr>
        <w:t xml:space="preserve"> потребителя безопасны</w:t>
      </w:r>
      <w:r>
        <w:rPr>
          <w:rFonts w:ascii="Times New Roman" w:hAnsi="Times New Roman"/>
          <w:color w:themeColor="text1" w:val="000000"/>
          <w:sz w:val="24"/>
        </w:rPr>
        <w:t>ми овощами</w:t>
      </w:r>
      <w:r>
        <w:rPr>
          <w:rFonts w:ascii="Times New Roman" w:hAnsi="Times New Roman"/>
          <w:color w:themeColor="text1" w:val="000000"/>
          <w:sz w:val="24"/>
        </w:rPr>
        <w:t xml:space="preserve">. </w:t>
      </w:r>
    </w:p>
    <w:p w14:paraId="03000000">
      <w:pPr>
        <w:widowControl w:val="1"/>
        <w:spacing w:afterAutospacing="on" w:line="240" w:lineRule="auto"/>
        <w:ind w:firstLine="709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Для индивидуальных предпринимателей, средних и крупных агропредприятий проверка растениеводческой продукции обязательна. Она проводится на соответствие требованиям ТР ТС 021/2011 «О безопасности пищевой продукции» и СанПиН 1.2.3685-21 – в части остаточных количеств пестицидов при их применении.</w:t>
      </w:r>
    </w:p>
    <w:p w14:paraId="04000000">
      <w:pPr>
        <w:widowControl w:val="1"/>
        <w:spacing w:afterAutospacing="on" w:line="240" w:lineRule="auto"/>
        <w:ind w:firstLine="709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В рамках стандартного комплекса испытаний лаборатория оценива</w:t>
      </w:r>
      <w:r>
        <w:rPr>
          <w:rFonts w:ascii="Times New Roman" w:hAnsi="Times New Roman"/>
          <w:color w:themeColor="text1" w:val="000000"/>
          <w:sz w:val="24"/>
        </w:rPr>
        <w:t>ет</w:t>
      </w:r>
      <w:r>
        <w:rPr>
          <w:rFonts w:ascii="Times New Roman" w:hAnsi="Times New Roman"/>
          <w:color w:themeColor="text1" w:val="000000"/>
          <w:sz w:val="24"/>
        </w:rPr>
        <w:t xml:space="preserve"> несколько групп показателей:</w:t>
      </w:r>
    </w:p>
    <w:p w14:paraId="05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•</w:t>
      </w:r>
      <w:r>
        <w:rPr>
          <w:rFonts w:ascii="Times New Roman" w:hAnsi="Times New Roman"/>
          <w:color w:themeColor="text1" w:val="000000"/>
          <w:sz w:val="24"/>
        </w:rPr>
        <w:tab/>
      </w:r>
      <w:r>
        <w:rPr>
          <w:rFonts w:ascii="Times New Roman" w:hAnsi="Times New Roman"/>
          <w:color w:themeColor="text1" w:val="000000"/>
          <w:sz w:val="24"/>
        </w:rPr>
        <w:t>Остаточные количества пестицидов</w:t>
      </w:r>
      <w:r>
        <w:rPr>
          <w:rFonts w:ascii="Times New Roman" w:hAnsi="Times New Roman"/>
          <w:color w:themeColor="text1" w:val="000000"/>
          <w:sz w:val="24"/>
        </w:rPr>
        <w:t xml:space="preserve"> – </w:t>
      </w:r>
      <w:r>
        <w:rPr>
          <w:rFonts w:ascii="Times New Roman" w:hAnsi="Times New Roman"/>
          <w:color w:themeColor="text1" w:val="000000"/>
          <w:sz w:val="24"/>
        </w:rPr>
        <w:t>метод</w:t>
      </w:r>
      <w:r>
        <w:rPr>
          <w:rFonts w:ascii="Times New Roman" w:hAnsi="Times New Roman"/>
          <w:color w:themeColor="text1" w:val="000000"/>
          <w:sz w:val="24"/>
        </w:rPr>
        <w:t>ами</w:t>
      </w:r>
      <w:r>
        <w:rPr>
          <w:rFonts w:ascii="Times New Roman" w:hAnsi="Times New Roman"/>
          <w:color w:themeColor="text1" w:val="000000"/>
          <w:sz w:val="24"/>
        </w:rPr>
        <w:t xml:space="preserve"> газовой</w:t>
      </w:r>
      <w:r>
        <w:rPr>
          <w:rFonts w:ascii="Times New Roman" w:hAnsi="Times New Roman"/>
          <w:color w:themeColor="text1" w:val="000000"/>
          <w:sz w:val="24"/>
        </w:rPr>
        <w:t xml:space="preserve"> (ГЖХ),</w:t>
      </w:r>
      <w:r>
        <w:rPr>
          <w:rFonts w:ascii="Times New Roman" w:hAnsi="Times New Roman"/>
          <w:color w:themeColor="text1" w:val="000000"/>
          <w:sz w:val="24"/>
        </w:rPr>
        <w:t xml:space="preserve"> жидкостной</w:t>
      </w:r>
      <w:r>
        <w:rPr>
          <w:rFonts w:ascii="Times New Roman" w:hAnsi="Times New Roman"/>
          <w:color w:themeColor="text1" w:val="000000"/>
          <w:sz w:val="24"/>
        </w:rPr>
        <w:t xml:space="preserve"> (ВЭЖХ) или тонкослойной хроматографии (ТСХ). </w:t>
      </w:r>
    </w:p>
    <w:p w14:paraId="06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•</w:t>
      </w:r>
      <w:r>
        <w:rPr>
          <w:rFonts w:ascii="Times New Roman" w:hAnsi="Times New Roman"/>
          <w:color w:themeColor="text1" w:val="000000"/>
          <w:sz w:val="24"/>
        </w:rPr>
        <w:tab/>
      </w:r>
      <w:r>
        <w:rPr>
          <w:rFonts w:ascii="Times New Roman" w:hAnsi="Times New Roman"/>
          <w:color w:themeColor="text1" w:val="000000"/>
          <w:sz w:val="24"/>
        </w:rPr>
        <w:t>Нитраты</w:t>
      </w:r>
      <w:r>
        <w:rPr>
          <w:rFonts w:ascii="Times New Roman" w:hAnsi="Times New Roman"/>
          <w:color w:themeColor="text1" w:val="000000"/>
          <w:sz w:val="24"/>
        </w:rPr>
        <w:t xml:space="preserve"> – методом </w:t>
      </w:r>
      <w:r>
        <w:rPr>
          <w:rFonts w:ascii="Times New Roman" w:hAnsi="Times New Roman"/>
          <w:color w:themeColor="text1" w:val="000000"/>
          <w:sz w:val="24"/>
        </w:rPr>
        <w:t>ионометрии</w:t>
      </w:r>
      <w:r>
        <w:rPr>
          <w:rFonts w:ascii="Times New Roman" w:hAnsi="Times New Roman"/>
          <w:color w:themeColor="text1" w:val="000000"/>
          <w:sz w:val="24"/>
        </w:rPr>
        <w:t>.</w:t>
      </w:r>
      <w:r>
        <w:rPr>
          <w:rFonts w:ascii="Times New Roman" w:hAnsi="Times New Roman"/>
          <w:color w:themeColor="text1" w:val="000000"/>
          <w:sz w:val="24"/>
        </w:rPr>
        <w:t xml:space="preserve"> Повышенное содержание нитратов – частая проблема ранней овощной</w:t>
      </w:r>
      <w:r>
        <w:rPr>
          <w:rFonts w:ascii="Times New Roman" w:hAnsi="Times New Roman"/>
          <w:color w:themeColor="text1" w:val="000000"/>
          <w:sz w:val="24"/>
        </w:rPr>
        <w:t xml:space="preserve"> продукции. </w:t>
      </w:r>
    </w:p>
    <w:p w14:paraId="07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•</w:t>
      </w:r>
      <w:r>
        <w:rPr>
          <w:rFonts w:ascii="Times New Roman" w:hAnsi="Times New Roman"/>
          <w:color w:themeColor="text1" w:val="000000"/>
          <w:sz w:val="24"/>
        </w:rPr>
        <w:tab/>
      </w:r>
      <w:r>
        <w:rPr>
          <w:rFonts w:ascii="Times New Roman" w:hAnsi="Times New Roman"/>
          <w:color w:themeColor="text1" w:val="000000"/>
          <w:sz w:val="24"/>
        </w:rPr>
        <w:t>Тяжёлые металлы (свинец, кадмий, мышьяк, ртуть)</w:t>
      </w:r>
      <w:r>
        <w:rPr>
          <w:rFonts w:ascii="Times New Roman" w:hAnsi="Times New Roman"/>
          <w:color w:themeColor="text1" w:val="000000"/>
          <w:sz w:val="24"/>
        </w:rPr>
        <w:t xml:space="preserve"> – методом инверсионной </w:t>
      </w:r>
      <w:r>
        <w:rPr>
          <w:rFonts w:ascii="Times New Roman" w:hAnsi="Times New Roman"/>
          <w:color w:themeColor="text1" w:val="000000"/>
          <w:sz w:val="24"/>
        </w:rPr>
        <w:t>вольтамперометрии</w:t>
      </w:r>
      <w:r>
        <w:rPr>
          <w:rFonts w:ascii="Times New Roman" w:hAnsi="Times New Roman"/>
          <w:color w:themeColor="text1" w:val="000000"/>
          <w:sz w:val="24"/>
        </w:rPr>
        <w:t xml:space="preserve"> и колориметрическим методом при определении содержания ртути. </w:t>
      </w:r>
      <w:r>
        <w:rPr>
          <w:rFonts w:ascii="Times New Roman" w:hAnsi="Times New Roman"/>
          <w:color w:themeColor="text1" w:val="000000"/>
          <w:sz w:val="24"/>
        </w:rPr>
        <w:t xml:space="preserve">Содержание </w:t>
      </w:r>
      <w:r>
        <w:rPr>
          <w:rFonts w:ascii="Times New Roman" w:hAnsi="Times New Roman"/>
          <w:color w:themeColor="text1" w:val="000000"/>
          <w:sz w:val="24"/>
        </w:rPr>
        <w:t>этих</w:t>
      </w:r>
      <w:r>
        <w:rPr>
          <w:rFonts w:ascii="Times New Roman" w:hAnsi="Times New Roman"/>
          <w:color w:themeColor="text1" w:val="000000"/>
          <w:sz w:val="24"/>
        </w:rPr>
        <w:t xml:space="preserve"> элементов нормируется требованиями ТР ТС 021/2011. </w:t>
      </w:r>
    </w:p>
    <w:p w14:paraId="08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•</w:t>
      </w:r>
      <w:r>
        <w:rPr>
          <w:rFonts w:ascii="Times New Roman" w:hAnsi="Times New Roman"/>
          <w:color w:themeColor="text1" w:val="000000"/>
          <w:sz w:val="24"/>
        </w:rPr>
        <w:tab/>
      </w:r>
      <w:r>
        <w:rPr>
          <w:rFonts w:ascii="Times New Roman" w:hAnsi="Times New Roman"/>
          <w:color w:themeColor="text1" w:val="000000"/>
          <w:sz w:val="24"/>
        </w:rPr>
        <w:t>Радионуклиды</w:t>
      </w:r>
      <w:r>
        <w:rPr>
          <w:rFonts w:ascii="Times New Roman" w:hAnsi="Times New Roman"/>
          <w:color w:themeColor="text1" w:val="000000"/>
          <w:sz w:val="24"/>
        </w:rPr>
        <w:t xml:space="preserve"> (цезий-137 и стронций-90)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– </w:t>
      </w:r>
      <w:r>
        <w:rPr>
          <w:rFonts w:ascii="Times New Roman" w:hAnsi="Times New Roman"/>
          <w:color w:themeColor="text1" w:val="000000"/>
          <w:sz w:val="24"/>
        </w:rPr>
        <w:t xml:space="preserve">методом радиоактивной спектрометрии. </w:t>
      </w:r>
      <w:r>
        <w:rPr>
          <w:rFonts w:ascii="Times New Roman" w:hAnsi="Times New Roman"/>
          <w:color w:themeColor="text1" w:val="000000"/>
          <w:sz w:val="24"/>
        </w:rPr>
        <w:t xml:space="preserve">  </w:t>
      </w:r>
    </w:p>
    <w:p w14:paraId="09000000">
      <w:pPr>
        <w:widowControl w:val="1"/>
        <w:spacing w:afterAutospacing="on" w:line="240" w:lineRule="auto"/>
        <w:ind w:firstLine="709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Такой набор </w:t>
      </w:r>
      <w:r>
        <w:rPr>
          <w:rFonts w:ascii="Times New Roman" w:hAnsi="Times New Roman"/>
          <w:color w:themeColor="text1" w:val="000000"/>
          <w:sz w:val="24"/>
        </w:rPr>
        <w:t xml:space="preserve">исследований </w:t>
      </w:r>
      <w:r>
        <w:rPr>
          <w:rFonts w:ascii="Times New Roman" w:hAnsi="Times New Roman"/>
          <w:color w:themeColor="text1" w:val="000000"/>
          <w:sz w:val="24"/>
        </w:rPr>
        <w:t>позволяет сформировать объективную картину безопасности и качества партии овощей.</w:t>
      </w:r>
      <w:r>
        <w:rPr>
          <w:rFonts w:ascii="Times New Roman" w:hAnsi="Times New Roman"/>
          <w:color w:themeColor="text1" w:val="000000"/>
          <w:sz w:val="24"/>
        </w:rPr>
        <w:t xml:space="preserve"> На сегодняшний день </w:t>
      </w:r>
      <w:r>
        <w:rPr>
          <w:rFonts w:ascii="Times New Roman" w:hAnsi="Times New Roman"/>
          <w:color w:themeColor="text1" w:val="000000"/>
          <w:sz w:val="24"/>
        </w:rPr>
        <w:t xml:space="preserve"> для оценки безопасности </w:t>
      </w:r>
      <w:r>
        <w:rPr>
          <w:rFonts w:ascii="Times New Roman" w:hAnsi="Times New Roman"/>
          <w:color w:themeColor="text1" w:val="000000"/>
          <w:sz w:val="24"/>
        </w:rPr>
        <w:t xml:space="preserve"> в испытательную лабораторию филиала уже поступило 15 образцов</w:t>
      </w:r>
      <w:r>
        <w:rPr>
          <w:rFonts w:ascii="Times New Roman" w:hAnsi="Times New Roman"/>
          <w:color w:themeColor="text1" w:val="000000"/>
          <w:sz w:val="24"/>
        </w:rPr>
        <w:t xml:space="preserve"> от</w:t>
      </w:r>
      <w:r>
        <w:rPr>
          <w:rFonts w:ascii="Times New Roman" w:hAnsi="Times New Roman"/>
          <w:color w:themeColor="text1" w:val="000000"/>
          <w:sz w:val="24"/>
        </w:rPr>
        <w:t xml:space="preserve"> п</w:t>
      </w:r>
      <w:r>
        <w:rPr>
          <w:rFonts w:ascii="Times New Roman" w:hAnsi="Times New Roman"/>
          <w:color w:themeColor="text1" w:val="000000"/>
          <w:sz w:val="24"/>
        </w:rPr>
        <w:t>артий общей массой 5,785 тыс. т  картофеля и 2,2 тыс. т</w:t>
      </w:r>
      <w:r>
        <w:rPr>
          <w:rFonts w:ascii="Times New Roman" w:hAnsi="Times New Roman"/>
          <w:color w:themeColor="text1" w:val="000000"/>
          <w:sz w:val="24"/>
        </w:rPr>
        <w:t xml:space="preserve"> овощей </w:t>
      </w:r>
      <w:r>
        <w:rPr>
          <w:rFonts w:ascii="Times New Roman" w:hAnsi="Times New Roman"/>
          <w:color w:themeColor="text1" w:val="000000"/>
          <w:sz w:val="24"/>
        </w:rPr>
        <w:t>нового урожая.</w:t>
      </w:r>
      <w:r>
        <w:rPr>
          <w:rFonts w:ascii="Times New Roman" w:hAnsi="Times New Roman"/>
          <w:color w:themeColor="text1" w:val="000000"/>
          <w:sz w:val="24"/>
        </w:rPr>
        <w:t xml:space="preserve"> Специалистами испытательной лаборатории было исследовано 10 средних </w:t>
      </w:r>
      <w:r>
        <w:rPr>
          <w:rFonts w:ascii="Times New Roman" w:hAnsi="Times New Roman"/>
          <w:color w:themeColor="text1" w:val="000000"/>
          <w:sz w:val="24"/>
        </w:rPr>
        <w:t>проб картофеля</w:t>
      </w:r>
      <w:r>
        <w:rPr>
          <w:rFonts w:ascii="Times New Roman" w:hAnsi="Times New Roman"/>
          <w:color w:themeColor="text1" w:val="000000"/>
          <w:sz w:val="24"/>
        </w:rPr>
        <w:t>, 2 – моркови, 2 – св</w:t>
      </w:r>
      <w:r>
        <w:rPr>
          <w:rFonts w:ascii="Times New Roman" w:hAnsi="Times New Roman"/>
          <w:color w:themeColor="text1" w:val="000000"/>
          <w:sz w:val="24"/>
        </w:rPr>
        <w:t>ё</w:t>
      </w:r>
      <w:r>
        <w:rPr>
          <w:rFonts w:ascii="Times New Roman" w:hAnsi="Times New Roman"/>
          <w:color w:themeColor="text1" w:val="000000"/>
          <w:sz w:val="24"/>
        </w:rPr>
        <w:t xml:space="preserve">клы и 1 – капусты из 10 хозяйств городского округа г. Красноярска и Шушенского муниципального округа. По результатам исследования </w:t>
      </w:r>
      <w:r>
        <w:rPr>
          <w:rFonts w:ascii="Times New Roman" w:hAnsi="Times New Roman"/>
          <w:color w:themeColor="text1" w:val="000000"/>
          <w:sz w:val="24"/>
        </w:rPr>
        <w:t xml:space="preserve">только в </w:t>
      </w:r>
      <w:r>
        <w:rPr>
          <w:rFonts w:ascii="Times New Roman" w:hAnsi="Times New Roman"/>
          <w:color w:themeColor="text1" w:val="000000"/>
          <w:sz w:val="24"/>
        </w:rPr>
        <w:t>одном</w:t>
      </w:r>
      <w:r>
        <w:rPr>
          <w:rFonts w:ascii="Times New Roman" w:hAnsi="Times New Roman"/>
          <w:color w:themeColor="text1" w:val="000000"/>
          <w:sz w:val="24"/>
        </w:rPr>
        <w:t xml:space="preserve"> образце св</w:t>
      </w:r>
      <w:r>
        <w:rPr>
          <w:rFonts w:ascii="Times New Roman" w:hAnsi="Times New Roman"/>
          <w:color w:themeColor="text1" w:val="000000"/>
          <w:sz w:val="24"/>
        </w:rPr>
        <w:t>ё</w:t>
      </w:r>
      <w:r>
        <w:rPr>
          <w:rFonts w:ascii="Times New Roman" w:hAnsi="Times New Roman"/>
          <w:color w:themeColor="text1" w:val="000000"/>
          <w:sz w:val="24"/>
        </w:rPr>
        <w:t xml:space="preserve">клы и в </w:t>
      </w:r>
      <w:r>
        <w:rPr>
          <w:rFonts w:ascii="Times New Roman" w:hAnsi="Times New Roman"/>
          <w:color w:themeColor="text1" w:val="000000"/>
          <w:sz w:val="24"/>
        </w:rPr>
        <w:t>одном</w:t>
      </w:r>
      <w:r>
        <w:rPr>
          <w:rFonts w:ascii="Times New Roman" w:hAnsi="Times New Roman"/>
          <w:color w:themeColor="text1" w:val="000000"/>
          <w:sz w:val="24"/>
        </w:rPr>
        <w:t xml:space="preserve"> образце картофе</w:t>
      </w:r>
      <w:r>
        <w:rPr>
          <w:rFonts w:ascii="Times New Roman" w:hAnsi="Times New Roman"/>
          <w:color w:themeColor="text1" w:val="000000"/>
          <w:sz w:val="24"/>
        </w:rPr>
        <w:t>ля содержание нитратов находилось</w:t>
      </w:r>
      <w:r>
        <w:rPr>
          <w:rFonts w:ascii="Times New Roman" w:hAnsi="Times New Roman"/>
          <w:color w:themeColor="text1" w:val="000000"/>
          <w:sz w:val="24"/>
        </w:rPr>
        <w:t xml:space="preserve"> на максимально допустимом уровне ПДК, в остальных образцах содержание по данному показателю ниже нормы. </w:t>
      </w:r>
      <w:r>
        <w:rPr>
          <w:rFonts w:ascii="Times New Roman" w:hAnsi="Times New Roman"/>
          <w:color w:themeColor="text1" w:val="000000"/>
          <w:sz w:val="24"/>
        </w:rPr>
        <w:t xml:space="preserve">По остальным показателям безопасности специалистами испытательной лаборатории превышений не обнаружено.  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Св</w:t>
      </w:r>
      <w:r>
        <w:rPr>
          <w:rFonts w:ascii="Times New Roman" w:hAnsi="Times New Roman"/>
          <w:color w:themeColor="text1" w:val="000000"/>
          <w:sz w:val="24"/>
        </w:rPr>
        <w:t>ё</w:t>
      </w:r>
      <w:r>
        <w:rPr>
          <w:rFonts w:ascii="Times New Roman" w:hAnsi="Times New Roman"/>
          <w:color w:themeColor="text1" w:val="000000"/>
          <w:sz w:val="24"/>
        </w:rPr>
        <w:t>кла особенно восприимчива к накоплению нитратов. Чтобы не допустить превышения нормируемых значений</w:t>
      </w:r>
      <w:r>
        <w:rPr>
          <w:rFonts w:ascii="Times New Roman" w:hAnsi="Times New Roman"/>
          <w:color w:themeColor="text1" w:val="000000"/>
          <w:sz w:val="24"/>
        </w:rPr>
        <w:t xml:space="preserve"> в продукции</w:t>
      </w:r>
      <w:r>
        <w:rPr>
          <w:rFonts w:ascii="Times New Roman" w:hAnsi="Times New Roman"/>
          <w:color w:themeColor="text1" w:val="000000"/>
          <w:sz w:val="24"/>
        </w:rPr>
        <w:t>, сельхозтоваропроизводителям рекомендуется:</w:t>
      </w:r>
    </w:p>
    <w:p w14:paraId="0B000000">
      <w:pPr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строго контролировать дозы внесения азотсодержащих удобрений;</w:t>
      </w:r>
    </w:p>
    <w:p w14:paraId="0C000000">
      <w:pPr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регулярно проверять содержание нитратов в почве на сельхозугодиях.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Необдуманное применение удобрений может привести к несоответствию продукции по содержанию нитратов – и, как следствие, к невоз</w:t>
      </w:r>
      <w:bookmarkStart w:id="1" w:name="_GoBack"/>
      <w:bookmarkEnd w:id="1"/>
      <w:r>
        <w:rPr>
          <w:rFonts w:ascii="Times New Roman" w:hAnsi="Times New Roman"/>
          <w:color w:themeColor="text1" w:val="000000"/>
          <w:sz w:val="24"/>
        </w:rPr>
        <w:t>можности её дальнейшей реализации.</w:t>
      </w:r>
    </w:p>
    <w:p w14:paraId="0E000000">
      <w:pPr>
        <w:widowControl w:val="1"/>
        <w:spacing w:afterAutospacing="on" w:line="240" w:lineRule="auto"/>
        <w:ind w:firstLine="709"/>
        <w:jc w:val="both"/>
        <w:rPr>
          <w:rFonts w:ascii="Times New Roman" w:hAnsi="Times New Roman"/>
          <w:b w:val="1"/>
          <w:color w:themeColor="text1" w:val="000000"/>
          <w:sz w:val="27"/>
        </w:rPr>
      </w:pPr>
      <w:r>
        <w:rPr>
          <w:rFonts w:ascii="Times New Roman" w:hAnsi="Times New Roman"/>
          <w:color w:themeColor="text1" w:val="000000"/>
          <w:sz w:val="24"/>
        </w:rPr>
        <w:t xml:space="preserve">Задача </w:t>
      </w:r>
      <w:r>
        <w:rPr>
          <w:rFonts w:ascii="Times New Roman" w:hAnsi="Times New Roman"/>
          <w:color w:themeColor="text1" w:val="000000"/>
          <w:sz w:val="24"/>
        </w:rPr>
        <w:t>аграри</w:t>
      </w:r>
      <w:r>
        <w:rPr>
          <w:rFonts w:ascii="Times New Roman" w:hAnsi="Times New Roman"/>
          <w:color w:themeColor="text1" w:val="000000"/>
          <w:sz w:val="24"/>
        </w:rPr>
        <w:t xml:space="preserve">ев на сегодняшний день – </w:t>
      </w:r>
      <w:r>
        <w:rPr>
          <w:rFonts w:ascii="Times New Roman" w:hAnsi="Times New Roman"/>
          <w:color w:themeColor="text1" w:val="000000"/>
          <w:sz w:val="24"/>
        </w:rPr>
        <w:t xml:space="preserve">собрать достойный урожай, провести своевременный </w:t>
      </w:r>
      <w:r>
        <w:rPr>
          <w:rFonts w:ascii="Times New Roman" w:hAnsi="Times New Roman"/>
          <w:color w:themeColor="text1" w:val="000000"/>
          <w:sz w:val="24"/>
        </w:rPr>
        <w:t>контроль и</w:t>
      </w:r>
      <w:r>
        <w:rPr>
          <w:rFonts w:ascii="Times New Roman" w:hAnsi="Times New Roman"/>
          <w:color w:themeColor="text1" w:val="000000"/>
          <w:sz w:val="24"/>
        </w:rPr>
        <w:t xml:space="preserve"> сохранить собранный урожай овощей и картофеля, чтобы в течение долгой зимы радовать своих земляков безопасными витаминами, выращенными на территории края. </w:t>
      </w:r>
      <w:r>
        <w:rPr>
          <w:rFonts w:ascii="Times New Roman" w:hAnsi="Times New Roman"/>
          <w:color w:themeColor="text1" w:val="000000"/>
          <w:sz w:val="24"/>
        </w:rPr>
        <w:t xml:space="preserve">Специалисты испытательной лаборатории готовы помочь </w:t>
      </w:r>
      <w:r>
        <w:rPr>
          <w:rFonts w:ascii="Times New Roman" w:hAnsi="Times New Roman"/>
          <w:color w:themeColor="text1" w:val="000000"/>
          <w:sz w:val="24"/>
        </w:rPr>
        <w:t>сельхозтоваропроизводителям</w:t>
      </w:r>
      <w:r>
        <w:rPr>
          <w:rFonts w:ascii="Times New Roman" w:hAnsi="Times New Roman"/>
          <w:color w:themeColor="text1" w:val="000000"/>
          <w:sz w:val="24"/>
        </w:rPr>
        <w:t xml:space="preserve"> провести исследования своей продукции, чтобы быть уверенными в её качестве и безопасности для конечного потребителя.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0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sz w:val="24"/>
        </w:rPr>
      </w:pP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567" w:footer="709" w:gutter="0" w:header="709" w:left="85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basedOn w:val="Style_1"/>
    <w:link w:val="Style_7_ch"/>
    <w:uiPriority w:val="9"/>
    <w:qFormat/>
    <w:pPr>
      <w:widowControl w:val="1"/>
      <w:spacing w:afterAutospacing="on" w:beforeAutospacing="on" w:line="240" w:lineRule="auto"/>
      <w:ind/>
      <w:outlineLvl w:val="2"/>
    </w:pPr>
    <w:rPr>
      <w:rFonts w:ascii="Times New Roman" w:hAnsi="Times New Roman"/>
      <w:b w:val="1"/>
      <w:sz w:val="27"/>
    </w:rPr>
  </w:style>
  <w:style w:styleId="Style_7_ch" w:type="character">
    <w:name w:val="heading 3"/>
    <w:basedOn w:val="Style_1_ch"/>
    <w:link w:val="Style_7"/>
    <w:rPr>
      <w:rFonts w:ascii="Times New Roman" w:hAnsi="Times New Roman"/>
      <w:b w:val="1"/>
      <w:sz w:val="27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futurismarkdown-word"/>
    <w:basedOn w:val="Style_10"/>
    <w:link w:val="Style_9_ch"/>
  </w:style>
  <w:style w:styleId="Style_9_ch" w:type="character">
    <w:name w:val="futurismarkdown-word"/>
    <w:basedOn w:val="Style_10_ch"/>
    <w:link w:val="Style_9"/>
  </w:style>
  <w:style w:styleId="Style_11" w:type="paragraph">
    <w:name w:val="Balloon Text"/>
    <w:basedOn w:val="Style_1"/>
    <w:link w:val="Style_11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1_ch" w:type="character">
    <w:name w:val="Balloon Text"/>
    <w:basedOn w:val="Style_1_ch"/>
    <w:link w:val="Style_11"/>
    <w:rPr>
      <w:rFonts w:ascii="Tahoma" w:hAnsi="Tahoma"/>
      <w:sz w:val="16"/>
    </w:rPr>
  </w:style>
  <w:style w:styleId="Style_12" w:type="paragraph">
    <w:name w:val="heading 5"/>
    <w:next w:val="Style_1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1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Strong"/>
    <w:basedOn w:val="Style_10"/>
    <w:link w:val="Style_18_ch"/>
    <w:rPr>
      <w:b w:val="1"/>
    </w:rPr>
  </w:style>
  <w:style w:styleId="Style_18_ch" w:type="character">
    <w:name w:val="Strong"/>
    <w:basedOn w:val="Style_10_ch"/>
    <w:link w:val="Style_18"/>
    <w:rPr>
      <w:b w:val="1"/>
    </w:rPr>
  </w:style>
  <w:style w:styleId="Style_19" w:type="paragraph">
    <w:name w:val="No Spacing"/>
    <w:link w:val="Style_19_ch"/>
    <w:pPr>
      <w:widowControl w:val="1"/>
      <w:spacing w:after="0" w:line="240" w:lineRule="auto"/>
      <w:ind/>
    </w:pPr>
  </w:style>
  <w:style w:styleId="Style_19_ch" w:type="character">
    <w:name w:val="No Spacing"/>
    <w:link w:val="Style_19"/>
  </w:style>
  <w:style w:styleId="Style_20" w:type="paragraph">
    <w:name w:val="toc 9"/>
    <w:next w:val="Style_1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1" w:type="paragraph">
    <w:name w:val="toc 8"/>
    <w:next w:val="Style_1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1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1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Normal (Web)"/>
    <w:basedOn w:val="Style_1"/>
    <w:link w:val="Style_2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4_ch" w:type="character">
    <w:name w:val="Normal (Web)"/>
    <w:basedOn w:val="Style_1_ch"/>
    <w:link w:val="Style_24"/>
    <w:rPr>
      <w:rFonts w:ascii="Times New Roman" w:hAnsi="Times New Roman"/>
      <w:sz w:val="24"/>
    </w:rPr>
  </w:style>
  <w:style w:styleId="Style_25" w:type="paragraph">
    <w:name w:val="Title"/>
    <w:next w:val="Style_1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basedOn w:val="Style_1"/>
    <w:link w:val="Style_27_ch"/>
    <w:uiPriority w:val="9"/>
    <w:qFormat/>
    <w:pPr>
      <w:widowControl w:val="1"/>
      <w:spacing w:afterAutospacing="on" w:beforeAutospacing="on" w:line="240" w:lineRule="auto"/>
      <w:ind/>
      <w:outlineLvl w:val="1"/>
    </w:pPr>
    <w:rPr>
      <w:rFonts w:ascii="Times New Roman" w:hAnsi="Times New Roman"/>
      <w:b w:val="1"/>
      <w:sz w:val="36"/>
    </w:rPr>
  </w:style>
  <w:style w:styleId="Style_27_ch" w:type="character">
    <w:name w:val="heading 2"/>
    <w:basedOn w:val="Style_1_ch"/>
    <w:link w:val="Style_27"/>
    <w:rPr>
      <w:rFonts w:ascii="Times New Roman" w:hAnsi="Times New Roman"/>
      <w:b w:val="1"/>
      <w:sz w:val="36"/>
    </w:rPr>
  </w:style>
  <w:style w:styleId="Style_28" w:type="table">
    <w:name w:val="Table Grid"/>
    <w:basedOn w:val="Style_29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MyOffice-CoreFramework-iOS/42-1452.1159.10689.1080.1@212e8e4dd60dd51ea4bca79400101cc95b98d843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2026-09-04T09:08:00Z</dcterms:created>
  <dcterms:modified xsi:type="dcterms:W3CDTF">2026-09-04T09:22:00Z</dcterms:modified>
</cp:coreProperties>
</file>